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45.png" ContentType="image/png"/>
  <Override PartName="/word/media/rId50.png" ContentType="image/png"/>
  <Override PartName="/word/media/rId39.png" ContentType="image/png"/>
  <Override PartName="/word/media/rId67.png" ContentType="image/png"/>
  <Override PartName="/word/media/rId2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2024-10-22</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Remote sensing is increasingly being used to monitor marine ecosystems, including seagrass meadows. Spectral indices such as the Normalized Difference Vegetation Index (NDVI) and the Soil-Adjusted Vegetation Index (SAVI) are effective for quantifying vegetation health over time</w:t>
      </w:r>
      <w:r>
        <w:t xml:space="preserve"> </w:t>
      </w:r>
      <w:r>
        <w:t xml:space="preserve">(Akbar et al., 2020; Cârlan et al., 2020; Huete, 2012; Kloos et al., 2021)</w:t>
      </w:r>
      <w:r>
        <w:t xml:space="preserve">. By analyzing specific spectral patterns, remote sensing can track changes in seagrass meadows with high temporal and spatial resolution. Europe promotes these techniques through frameworks like the Water Framework Directive and the Marine Strategy Framework Directive, which advocate for habitat mapping using remote sensing technologies to cover large areas and detect long-term trends</w:t>
      </w:r>
      <w:r>
        <w:t xml:space="preserve"> </w:t>
      </w:r>
      <w:r>
        <w:t xml:space="preserve">(Papathanasopoulou et al., 2019)</w:t>
      </w:r>
      <w:r>
        <w:t xml:space="preserve">.</w:t>
      </w:r>
    </w:p>
    <w:p>
      <w:pPr>
        <w:pStyle w:val="BodyText"/>
      </w:pPr>
      <w:r>
        <w:t xml:space="preserve">This study aims to experimentally test the hypothesis that warm events, such as atmospheric heatwaves, alter the pigment composition and reflectance of the intertidal seagrass Nanozostera noltei. By linking these changes with satellite remote sensing data, the study seeks to provide insights into how heatwaves affect seagrass meadows and to assess the potential of remote sensing in monitoring these impacts</w:t>
      </w:r>
    </w:p>
    <w:bookmarkEnd w:id="20"/>
    <w:bookmarkStart w:id="66" w:name="material-methods"/>
    <w:p>
      <w:pPr>
        <w:pStyle w:val="Heading1"/>
      </w:pPr>
      <w:r>
        <w:t xml:space="preserve">2. Material &amp; Methods</w:t>
      </w:r>
    </w:p>
    <w:bookmarkStart w:id="37"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green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 (</w:t>
      </w:r>
      <w:hyperlink w:anchor="fig-QuiberonImg">
        <w:r>
          <w:rPr>
            <w:rStyle w:val="Hyperlink"/>
          </w:rPr>
          <w:t xml:space="preserve">Figure 2</w:t>
        </w:r>
      </w:hyperlink>
      <w:r>
        <w:t xml:space="preserve"> </w:t>
      </w:r>
      <w:r>
        <w:t xml:space="preserve">C &amp; D).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122 Ground Control Points (GCPs) were collected in the form of georeferenced quadrat images across the meadow . These images allow for visual assessment of vegetation type, density, and health status. The images were then divided into two categories: green seagrasses and darkened seagrasses, based on a visual estimation of the leaf condition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green green meadow; B: Quadrat images of green seagrasses; C: Quadrat images of darkened seagrasses; D: Global view of an darkened meadow. All images were taken on September 10th, 2021, in Quiberon.</w:t>
            </w:r>
          </w:p>
          <w:bookmarkEnd w:id="29"/>
        </w:tc>
      </w:tr>
    </w:tbl>
    <w:bookmarkEnd w:id="30"/>
    <w:bookmarkEnd w:id="31"/>
    <w:bookmarkStart w:id="35" w:name="X73fb4b6725bb43bdc3c17946b41d73eba45f33b"/>
    <w:p>
      <w:pPr>
        <w:pStyle w:val="Heading3"/>
      </w:pPr>
      <w:r>
        <w:t xml:space="preserve">2.1.2 Temparature Data and identification of heatwaves</w:t>
      </w:r>
    </w:p>
    <w:bookmarkStart w:id="33" w:name="air-temperature"/>
    <w:p>
      <w:pPr>
        <w:pStyle w:val="Heading4"/>
      </w:pPr>
      <w:r>
        <w:t xml:space="preserve">2.1.2.1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2">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3"/>
    <w:bookmarkStart w:id="34" w:name="water-temperature"/>
    <w:p>
      <w:pPr>
        <w:pStyle w:val="Heading4"/>
      </w:pPr>
      <w:r>
        <w:t xml:space="preserve">2.1.2.2 Water temperature</w:t>
      </w:r>
    </w:p>
    <w:p>
      <w:pPr>
        <w:pStyle w:val="FirstParagraph"/>
      </w:pPr>
      <w:r>
        <w:t xml:space="preserve">SST data from the Copernicus CMEMS platform were downloaded for the French coast near Quiberon (47°29′03″N, 3°07′09″W), covering 1982-2022</w:t>
      </w:r>
      <w:r>
        <w:t xml:space="preserve"> </w:t>
      </w:r>
      <w:r>
        <w:t xml:space="preserve">(CMEMS, 2024)</w:t>
      </w:r>
      <w:r>
        <w:t xml:space="preserve">. Only pixels within an area of 2700 km² around Quiberon, Brittany, France (47°29′03″N, 3°07′09″W) were extracted and analyzed. This area was large enough to minimize missing values caused by cloud cover, yet small enough to avoid being influenced by the stability of offshore SST. The multi-sensor Level 3S Sea Surface Temperature (SST) product the we used is built from nighttime infrared satellite data, including sources like ESA SST CCI, C3S, and EUMETSAT. Data from AVHRR, ATSR, and SLSTR radiometers are used, but only those with a quality level above 4. An intercalibration method ensures consistency, and a daily reference SST field is constructed by combining the best data with median values from other sources. A large-scale bias correction is applied, and daily single-sensor composites are merged into a multi-sensor file (L3S), selecting the best sensor for each grid cell. A daily average was computed for the time series, and the HeatwaveR package</w:t>
      </w:r>
      <w:r>
        <w:t xml:space="preserve"> </w:t>
      </w:r>
      <w:r>
        <w:t xml:space="preserve">(Schlegel and Smit, 2018)</w:t>
      </w:r>
      <w:r>
        <w:t xml:space="preserve"> </w:t>
      </w:r>
      <w:r>
        <w:t xml:space="preserve">was used to compute SST climatology and detect SST events using the same method as air temperature event detection.</w:t>
      </w:r>
    </w:p>
    <w:bookmarkEnd w:id="34"/>
    <w:bookmarkEnd w:id="35"/>
    <w:bookmarkStart w:id="36" w:name="satellite-observation"/>
    <w:p>
      <w:pPr>
        <w:pStyle w:val="Heading3"/>
      </w:pPr>
      <w:r>
        <w:t xml:space="preserve">2.1.3 Satellite Observation</w:t>
      </w:r>
    </w:p>
    <w:p>
      <w:pPr>
        <w:pStyle w:val="FirstParagraph"/>
      </w:pPr>
      <w:r>
        <w:t xml:space="preserve">Two Sentinel-2 images covering the field trip site (</w:t>
      </w:r>
      <w:hyperlink w:anchor="fig-quiberonMap">
        <w:r>
          <w:rPr>
            <w:rStyle w:val="Hyperlink"/>
          </w:rPr>
          <w:t xml:space="preserve">Figure 1</w:t>
        </w:r>
      </w:hyperlink>
      <w:r>
        <w:t xml:space="preserve">) were downloaded from the Copernicus platform</w:t>
      </w:r>
      <w:r>
        <w:t xml:space="preserve"> </w:t>
      </w:r>
      <w:r>
        <w:t xml:space="preserve">(European Space Agency, 2024a)</w:t>
      </w:r>
      <w:r>
        <w:t xml:space="preserve">. The first image was taken before the heatwave event on September 1, 2021, and the second one after the event on September 6, 2021. Both images were acquired at Level-2 processing, in surface reflectance, and were orthorectified and atmospherically corrected to account for the effects of the atmosphere on reflectance values</w:t>
      </w:r>
      <w:r>
        <w:t xml:space="preserve"> </w:t>
      </w:r>
      <w:r>
        <w:t xml:space="preserve">(European Space Agency, 2024b)</w:t>
      </w:r>
      <w:r>
        <w:t xml:space="preserve">.</w:t>
      </w:r>
    </w:p>
    <w:p>
      <w:pPr>
        <w:pStyle w:val="BodyText"/>
      </w:pPr>
      <w:r>
        <w:t xml:space="preserve">Reflectance value of each GCPs (</w:t>
      </w:r>
      <w:hyperlink w:anchor="fig-quiberonMap">
        <w:r>
          <w:rPr>
            <w:rStyle w:val="Hyperlink"/>
          </w:rPr>
          <w:t xml:space="preserve">Figure 1</w:t>
        </w:r>
      </w:hyperlink>
      <w:r>
        <w:t xml:space="preserve">) have been exctracted and compared before and after the heatwave event.</w:t>
      </w:r>
    </w:p>
    <w:bookmarkEnd w:id="36"/>
    <w:bookmarkEnd w:id="37"/>
    <w:bookmarkStart w:id="65" w:name="laboratory-experiment"/>
    <w:p>
      <w:pPr>
        <w:pStyle w:val="Heading2"/>
      </w:pPr>
      <w:r>
        <w:t xml:space="preserve">2.2 Laboratory experiment</w:t>
      </w:r>
    </w:p>
    <w:bookmarkStart w:id="38"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entire system, including seagrass, sediment, meiofauna, and macrofauna, was placed in plastic trays together in a mesocosm setup, which allowed for the natural interactions between components to be maintained and reduced stress on the seagrass.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8"/>
    <w:bookmarkStart w:id="55" w:name="experimental-design"/>
    <w:p>
      <w:pPr>
        <w:pStyle w:val="Heading3"/>
      </w:pPr>
      <w:r>
        <w:t xml:space="preserve">2.2.2 Experimental design</w:t>
      </w:r>
    </w:p>
    <w:bookmarkStart w:id="43" w:name="cell-fig-design"/>
    <w:tbl>
      <w:tblPr>
        <w:tblStyle w:val="Table"/>
        <w:tblW w:type="pct" w:w="5000"/>
        <w:tblLayout w:type="fixed"/>
        <w:tblLook w:firstRow="0" w:lastRow="0" w:firstColumn="0" w:lastColumn="0" w:noHBand="0" w:noVBand="0" w:val="0000"/>
      </w:tblPr>
      <w:tblGrid>
        <w:gridCol w:w="7920"/>
      </w:tblGrid>
      <w:tr>
        <w:tc>
          <w:tcPr/>
          <w:bookmarkStart w:id="42" w:name="fig-design"/>
          <w:p>
            <w:pPr>
              <w:pStyle w:val="Compact"/>
              <w:jc w:val="center"/>
            </w:pPr>
            <w:r>
              <w:drawing>
                <wp:inline>
                  <wp:extent cx="5334000" cy="5246716"/>
                  <wp:effectExtent b="0" l="0" r="0" t="0"/>
                  <wp:docPr descr="" title="" id="40" name="Picture"/>
                  <a:graphic>
                    <a:graphicData uri="http://schemas.openxmlformats.org/drawingml/2006/picture">
                      <pic:pic>
                        <pic:nvPicPr>
                          <pic:cNvPr descr="Figs/Low_res/Experimental_design.png" id="41" name="Picture"/>
                          <pic:cNvPicPr>
                            <a:picLocks noChangeArrowheads="1" noChangeAspect="1"/>
                          </pic:cNvPicPr>
                        </pic:nvPicPr>
                        <pic:blipFill>
                          <a:blip r:embed="rId39"/>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2"/>
        </w:tc>
      </w:tr>
    </w:tbl>
    <w:bookmarkEnd w:id="43"/>
    <w:p>
      <w:pPr>
        <w:pStyle w:val="BodyText"/>
      </w:pPr>
      <w:r>
        <w:t xml:space="preserve">Two intertidal chambers from</w:t>
      </w:r>
      <w:r>
        <w:t xml:space="preserve"> </w:t>
      </w:r>
      <w:hyperlink r:id="rId44">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w:t>
      </w:r>
    </w:p>
    <w:bookmarkStart w:id="49" w:name="cell-fig-Temperature_Bourgneuf"/>
    <w:tbl>
      <w:tblPr>
        <w:tblStyle w:val="Table"/>
        <w:tblW w:type="pct" w:w="5000"/>
        <w:tblLayout w:type="fixed"/>
        <w:tblLook w:firstRow="0" w:lastRow="0" w:firstColumn="0" w:lastColumn="0" w:noHBand="0" w:noVBand="0" w:val="0000"/>
      </w:tblPr>
      <w:tblGrid>
        <w:gridCol w:w="7920"/>
      </w:tblGrid>
      <w:tr>
        <w:tc>
          <w:tcPr/>
          <w:bookmarkStart w:id="48" w:name="fig-Temperature_Bourgneuf"/>
          <w:p>
            <w:pPr>
              <w:pStyle w:val="Compact"/>
              <w:jc w:val="center"/>
            </w:pPr>
            <w:r>
              <w:drawing>
                <wp:inline>
                  <wp:extent cx="1600200" cy="1600200"/>
                  <wp:effectExtent b="0" l="0" r="0" t="0"/>
                  <wp:docPr descr="" title="" id="46" name="Picture"/>
                  <a:graphic>
                    <a:graphicData uri="http://schemas.openxmlformats.org/drawingml/2006/picture">
                      <pic:pic>
                        <pic:nvPicPr>
                          <pic:cNvPr descr="Figs/High_res/Temperature_compare.png" id="47" name="Picture"/>
                          <pic:cNvPicPr>
                            <a:picLocks noChangeArrowheads="1" noChangeAspect="1"/>
                          </pic:cNvPicPr>
                        </pic:nvPicPr>
                        <pic:blipFill>
                          <a:blip r:embed="rId45"/>
                          <a:stretch>
                            <a:fillRect/>
                          </a:stretch>
                        </pic:blipFill>
                        <pic:spPr bwMode="auto">
                          <a:xfrm>
                            <a:off x="0" y="0"/>
                            <a:ext cx="16002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8"/>
        </w:tc>
      </w:tr>
    </w:tbl>
    <w:bookmarkEnd w:id="49"/>
    <w:p>
      <w:pPr>
        <w:pStyle w:val="BodyText"/>
      </w:pPr>
      <w:r>
        <w:t xml:space="preserve">To experimentally apply temperatures that closely mimic those experienced by seagrasses in the field,</w:t>
      </w:r>
      <w:r>
        <w:t xml:space="preserve"> </w:t>
      </w:r>
      <w:r>
        <w:rPr>
          <w:i/>
          <w:iCs/>
        </w:rPr>
        <w:t xml:space="preserve">in situ</w:t>
      </w:r>
      <w:r>
        <w:t xml:space="preserve"> </w:t>
      </w:r>
      <w:r>
        <w:t xml:space="preserve">temperature sensors were placed at the sampling site in Bourgneuf Bay during August 2024. The daily maximum temperatures recorded by the</w:t>
      </w:r>
      <w:r>
        <w:t xml:space="preserve"> </w:t>
      </w:r>
      <w:r>
        <w:rPr>
          <w:i/>
          <w:iCs/>
        </w:rPr>
        <w:t xml:space="preserve">in situ</w:t>
      </w:r>
      <w:r>
        <w:t xml:space="preserve"> </w:t>
      </w:r>
      <w:r>
        <w:t xml:space="preserve">sensors were compared to those measured by the nearest weather station operated by Meteo France (</w:t>
      </w:r>
      <w:hyperlink w:anchor="fig-Temperature_Bourgneuf">
        <w:r>
          <w:rPr>
            <w:rStyle w:val="Hyperlink"/>
          </w:rPr>
          <w:t xml:space="preserve">Figure 4</w:t>
        </w:r>
      </w:hyperlink>
      <w:r>
        <w:t xml:space="preserve">). On average,</w:t>
      </w:r>
      <w:r>
        <w:t xml:space="preserve"> </w:t>
      </w:r>
      <w:r>
        <w:rPr>
          <w:i/>
          <w:iCs/>
        </w:rPr>
        <w:t xml:space="preserve">in situ</w:t>
      </w:r>
      <w:r>
        <w:t xml:space="preserve"> </w:t>
      </w:r>
      <w:r>
        <w:t xml:space="preserve">temperatures were 3 ± 3.2°C higher than those recorded by Meteo France. Additionally, Meteo France temperatures were more stable compared to those from the</w:t>
      </w:r>
      <w:r>
        <w:t xml:space="preserve"> </w:t>
      </w:r>
      <w:r>
        <w:rPr>
          <w:i/>
          <w:iCs/>
        </w:rPr>
        <w:t xml:space="preserve">in situ</w:t>
      </w:r>
      <w:r>
        <w:t xml:space="preserve"> </w:t>
      </w:r>
      <w:r>
        <w:t xml:space="preserve">sensor. This stability is explained by the fact that Meteo France temperatures are measured in a sheltered, shaded location . This offset was used to adjust heatwave temperatures measured by Meteo France to reflect the conditions experienced by the seagrasses.</w:t>
      </w:r>
    </w:p>
    <w:p>
      <w:pPr>
        <w:pStyle w:val="BodyText"/>
      </w:pPr>
      <w:r>
        <w:t xml:space="preserve">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5</w:t>
        </w:r>
      </w:hyperlink>
      <w:r>
        <w:t xml:space="preserve"> </w:t>
      </w:r>
      <w:r>
        <w:t xml:space="preserve">left). For the experimental treatment, the air temperature was set to mimic an atmospheric heatwave that occurred over the seagrass meadow of Quiberon, France (47°35’40.0”N, 3°07’30.0”W) from September 2,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5</w:t>
        </w:r>
      </w:hyperlink>
      <w:r>
        <w:t xml:space="preserve"> </w:t>
      </w:r>
      <w:r>
        <w:t xml:space="preserve">right). The experiment stops only when no changes in the reflectance of the treatment are observed for 2 consecutive days.</w:t>
      </w:r>
    </w:p>
    <w:bookmarkStart w:id="54" w:name="cell-fig-Profile"/>
    <w:tbl>
      <w:tblPr>
        <w:tblStyle w:val="Table"/>
        <w:tblW w:type="pct" w:w="5000"/>
        <w:tblLayout w:type="fixed"/>
        <w:tblLook w:firstRow="0" w:lastRow="0" w:firstColumn="0" w:lastColumn="0" w:noHBand="0" w:noVBand="0" w:val="0000"/>
      </w:tblPr>
      <w:tblGrid>
        <w:gridCol w:w="7920"/>
      </w:tblGrid>
      <w:tr>
        <w:tc>
          <w:tcPr/>
          <w:bookmarkStart w:id="53" w:name="fig-Profile"/>
          <w:p>
            <w:pPr>
              <w:pStyle w:val="Compact"/>
              <w:jc w:val="center"/>
            </w:pPr>
            <w:r>
              <w:drawing>
                <wp:inline>
                  <wp:extent cx="5334000" cy="2439728"/>
                  <wp:effectExtent b="0" l="0" r="0" t="0"/>
                  <wp:docPr descr="" title="" id="51" name="Picture"/>
                  <a:graphic>
                    <a:graphicData uri="http://schemas.openxmlformats.org/drawingml/2006/picture">
                      <pic:pic>
                        <pic:nvPicPr>
                          <pic:cNvPr descr="Figs/Low_res/Chamber_Profils.png" id="52" name="Picture"/>
                          <pic:cNvPicPr>
                            <a:picLocks noChangeArrowheads="1" noChangeAspect="1"/>
                          </pic:cNvPicPr>
                        </pic:nvPicPr>
                        <pic:blipFill>
                          <a:blip r:embed="rId50"/>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53"/>
        </w:tc>
      </w:tr>
    </w:tbl>
    <w:bookmarkEnd w:id="54"/>
    <w:bookmarkEnd w:id="55"/>
    <w:bookmarkStart w:id="64" w:name="Xace924ada36ed3f851fe125e1fb1311c1764a5d"/>
    <w:p>
      <w:pPr>
        <w:pStyle w:val="Heading3"/>
      </w:pPr>
      <w:r>
        <w:t xml:space="preserve">2.2.3 Bio-optical measurmenents over seagrass leaves</w:t>
      </w:r>
    </w:p>
    <w:bookmarkStart w:id="62"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6">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7"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7"/>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8"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8"/>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9"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9"/>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60" w:name="multispectral-imagery-measurement"/>
      <w:r>
        <w:t xml:space="preserve">2.2.3.2 Multispectral imagery measurement</w:t>
      </w:r>
      <w:bookmarkEnd w:id="60"/>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61">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62"/>
    <w:bookmarkStart w:id="63"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Before pigment extraction, each sample was lyophilized and its dry weight was measured.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w:t>
      </w:r>
    </w:p>
    <w:p>
      <w:pPr>
        <w:pStyle w:val="BodyText"/>
      </w:pPr>
      <w:r>
        <w:rPr>
          <w:b/>
          <w:bCs/>
        </w:rPr>
        <w:t xml:space="preserve">Au secours Philippe !!!</w:t>
      </w:r>
    </w:p>
    <w:bookmarkEnd w:id="63"/>
    <w:bookmarkEnd w:id="64"/>
    <w:bookmarkEnd w:id="65"/>
    <w:bookmarkEnd w:id="66"/>
    <w:bookmarkStart w:id="78" w:name="results"/>
    <w:p>
      <w:pPr>
        <w:pStyle w:val="Heading1"/>
      </w:pPr>
      <w:r>
        <w:t xml:space="preserve">3. Results</w:t>
      </w:r>
    </w:p>
    <w:bookmarkStart w:id="77" w:name="heatwaves-of-quiberon"/>
    <w:p>
      <w:pPr>
        <w:pStyle w:val="Heading2"/>
      </w:pPr>
      <w:r>
        <w:t xml:space="preserve">3.1 Heatwaves of Quiberon</w:t>
      </w:r>
    </w:p>
    <w:p>
      <w:pPr>
        <w:pStyle w:val="FirstParagraph"/>
      </w:pPr>
      <w:r>
        <w:t xml:space="preserve">The two cloud-free Sentinel-2 images used in this study are dated 1 September 2021 and 6 September 2021 (</w:t>
      </w:r>
      <w:hyperlink w:anchor="fig-S2_comparison">
        <w:r>
          <w:rPr>
            <w:rStyle w:val="Hyperlink"/>
          </w:rPr>
          <w:t xml:space="preserve">Figure 6</w:t>
        </w:r>
      </w:hyperlink>
      <w:r>
        <w:t xml:space="preserve"> </w:t>
      </w:r>
      <w:r>
        <w:t xml:space="preserve">A and C, respectively). The Atmospheric Heat Wave (AHW) started on 4 September and lasted until 7 September, while the Marine Heat Wave (MHW) started on 3 September and ended on 8 September 2021 (</w:t>
      </w:r>
      <w:hyperlink w:anchor="fig-S2_comparison">
        <w:r>
          <w:rPr>
            <w:rStyle w:val="Hyperlink"/>
          </w:rPr>
          <w:t xml:space="preserve">Figure 6</w:t>
        </w:r>
      </w:hyperlink>
      <w:r>
        <w:t xml:space="preserve"> </w:t>
      </w:r>
      <w:r>
        <w:t xml:space="preserve">B). The AHW has been classified as a strong event, and the MHW has been classified as moderate. Even though the Sentinel-2 images were captured only a few days after the start of the events, darkening of seagrass can already be observed (</w:t>
      </w:r>
      <w:hyperlink w:anchor="fig-S2_comparison">
        <w:r>
          <w:rPr>
            <w:rStyle w:val="Hyperlink"/>
          </w:rPr>
          <w:t xml:space="preserve">Figure 6</w:t>
        </w:r>
      </w:hyperlink>
      <w:r>
        <w:t xml:space="preserve"> </w:t>
      </w:r>
      <w:r>
        <w:t xml:space="preserve">C). The class of Ground Control Points (GCPs) acquired in the field on 10 September corresponds to the locations of dark patches visible in the images from 6 September. Before the event, there were no notable differences in the reflectance of the two classes of GCPs (</w:t>
      </w:r>
      <w:hyperlink w:anchor="fig-S2_comparison">
        <w:r>
          <w:rPr>
            <w:rStyle w:val="Hyperlink"/>
          </w:rPr>
          <w:t xml:space="preserve">Figure 6</w:t>
        </w:r>
      </w:hyperlink>
      <w:r>
        <w:t xml:space="preserve"> </w:t>
      </w:r>
      <w:r>
        <w:t xml:space="preserve">D, left). Both spectra show strong absorption at 668 nm (chlorophyll-a), a high infrared plateau, and a reflectance peak in the green region of the spectrum. In contrast, spectra extracted from the 6 September image show clear differences between the two classes of GCPs (</w:t>
      </w:r>
      <w:hyperlink w:anchor="fig-S2_comparison">
        <w:r>
          <w:rPr>
            <w:rStyle w:val="Hyperlink"/>
          </w:rPr>
          <w:t xml:space="preserve">Figure 6</w:t>
        </w:r>
      </w:hyperlink>
      <w:r>
        <w:t xml:space="preserve"> </w:t>
      </w:r>
      <w:r>
        <w:t xml:space="preserve">D, right). GCPs corresponding to green seagrass observed in the field maintained a similar spectral shape as before the heatwave events. However, GCPs corresponding to darkened seagrass observed in the field have lost their high reflectance in the green part of the spectrum, and the infrared plateau has decreased significantly, now exhibiting a downward slope.</w:t>
      </w:r>
    </w:p>
    <w:bookmarkStart w:id="71" w:name="cell-fig-S2_comparison"/>
    <w:tbl>
      <w:tblPr>
        <w:tblStyle w:val="Table"/>
        <w:tblW w:type="pct" w:w="5000"/>
        <w:tblLayout w:type="fixed"/>
        <w:tblLook w:firstRow="0" w:lastRow="0" w:firstColumn="0" w:lastColumn="0" w:noHBand="0" w:noVBand="0" w:val="0000"/>
      </w:tblPr>
      <w:tblGrid>
        <w:gridCol w:w="7920"/>
      </w:tblGrid>
      <w:tr>
        <w:tc>
          <w:tcPr/>
          <w:bookmarkStart w:id="70" w:name="fig-S2_comparison"/>
          <w:p>
            <w:pPr>
              <w:pStyle w:val="Compact"/>
              <w:jc w:val="center"/>
            </w:pPr>
            <w:r>
              <w:drawing>
                <wp:inline>
                  <wp:extent cx="5334000" cy="4536179"/>
                  <wp:effectExtent b="0" l="0" r="0" t="0"/>
                  <wp:docPr descr="" title="" id="68" name="Picture"/>
                  <a:graphic>
                    <a:graphicData uri="http://schemas.openxmlformats.org/drawingml/2006/picture">
                      <pic:pic>
                        <pic:nvPicPr>
                          <pic:cNvPr descr="Figs/Low_res/Heatwaves_S2_plot.png" id="69" name="Picture"/>
                          <pic:cNvPicPr>
                            <a:picLocks noChangeArrowheads="1" noChangeAspect="1"/>
                          </pic:cNvPicPr>
                        </pic:nvPicPr>
                        <pic:blipFill>
                          <a:blip r:embed="rId67"/>
                          <a:stretch>
                            <a:fillRect/>
                          </a:stretch>
                        </pic:blipFill>
                        <pic:spPr bwMode="auto">
                          <a:xfrm>
                            <a:off x="0" y="0"/>
                            <a:ext cx="5334000" cy="45361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Spectral Comparison of Sentinel-2 Signatures (D) of Ground Control Points (GCPs) Before (A) and After (B) Heatwave Events (C) ; A : RGB color composition of the Sentinel-2 image from September 1, 2021. The points correspond to GCPs collected on September 10, 2021</w:t>
            </w:r>
            <w:r>
              <w:t xml:space="preserve"> </w:t>
            </w:r>
            <w:hyperlink w:anchor="fig-quiberonMap">
              <w:r>
                <w:rPr>
                  <w:rStyle w:val="Hyperlink"/>
                </w:rPr>
                <w:t xml:space="preserve">Figure 1</w:t>
              </w:r>
            </w:hyperlink>
            <w:r>
              <w:t xml:space="preserve"> </w:t>
            </w:r>
            <w:r>
              <w:t xml:space="preserve">; B : Detection of heatwave events based on both Air Temperature and Sea Surface Temperature. The solid line represents the daily average temperature, while the dashed line indicates the 90th percentile of the climatology. When the daily average exceeds the 90th percentile for three consecutive days, the event is classified as a heatwave (colored polygons). The two vertical dashed lines represent the acquisition dates of the two Sentinel-2 images ; C : RGB color composition of the Sentinel-2 image from September 6, 2021. The points correspond to GCPs collected on September 10, 2021</w:t>
            </w:r>
            <w:r>
              <w:t xml:space="preserve"> </w:t>
            </w:r>
            <w:hyperlink w:anchor="fig-quiberonMap">
              <w:r>
                <w:rPr>
                  <w:rStyle w:val="Hyperlink"/>
                </w:rPr>
                <w:t xml:space="preserve">Figure 1</w:t>
              </w:r>
            </w:hyperlink>
            <w:r>
              <w:t xml:space="preserve"> </w:t>
            </w:r>
            <w:r>
              <w:t xml:space="preserve">; D : Average spectral signatures of GCPs where dark and green seagrasses (blue and gold lines, respectively) were present during the field survey. The left plot shows the reflectance of these GCPs before the heatwave impact, while the right plot shows the spectral signature after the heatwaves.The ribbons around the lines represent the standard deviation.</w:t>
            </w:r>
          </w:p>
          <w:bookmarkEnd w:id="70"/>
        </w:tc>
      </w:tr>
    </w:tbl>
    <w:bookmarkEnd w:id="71"/>
    <w:bookmarkStart w:id="76" w:name="cell-fig-NDVI_GLI_SPC"/>
    <w:tbl>
      <w:tblPr>
        <w:tblStyle w:val="Table"/>
        <w:tblW w:type="pct" w:w="5000"/>
        <w:tblLayout w:type="fixed"/>
        <w:tblLook w:firstRow="0" w:lastRow="0" w:firstColumn="0" w:lastColumn="0" w:noHBand="0" w:noVBand="0" w:val="0000"/>
      </w:tblPr>
      <w:tblGrid>
        <w:gridCol w:w="7920"/>
      </w:tblGrid>
      <w:tr>
        <w:tc>
          <w:tcPr/>
          <w:bookmarkStart w:id="75" w:name="fig-NDVI_GLI_SPC"/>
          <w:p>
            <w:pPr>
              <w:pStyle w:val="Compact"/>
              <w:jc w:val="center"/>
            </w:pPr>
            <w:r>
              <w:drawing>
                <wp:inline>
                  <wp:extent cx="4267200" cy="6096000"/>
                  <wp:effectExtent b="0" l="0" r="0" t="0"/>
                  <wp:docPr descr="" title="" id="73" name="Picture"/>
                  <a:graphic>
                    <a:graphicData uri="http://schemas.openxmlformats.org/drawingml/2006/picture">
                      <pic:pic>
                        <pic:nvPicPr>
                          <pic:cNvPr descr="Figs/High_res/Compares_Indices_S2.png" id="74" name="Picture"/>
                          <pic:cNvPicPr>
                            <a:picLocks noChangeArrowheads="1" noChangeAspect="1"/>
                          </pic:cNvPicPr>
                        </pic:nvPicPr>
                        <pic:blipFill>
                          <a:blip r:embed="rId72"/>
                          <a:stretch>
                            <a:fillRect/>
                          </a:stretch>
                        </pic:blipFill>
                        <pic:spPr bwMode="auto">
                          <a:xfrm>
                            <a:off x="0" y="0"/>
                            <a:ext cx="42672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Comparaison of Sentinel-2 based radiometric indices at two different dates, before (2021-09-01) and after (2021-09-06) the heatwaves events of Quiberons, for the two category of GCPs seen in the filed : Green seagrasses and Darkened Seagrasses. SPC stands for Seagrass Percent Covers and it’s calculated using the equation of</w:t>
            </w:r>
            <w:r>
              <w:t xml:space="preserve"> </w:t>
            </w:r>
            <w:r>
              <w:t xml:space="preserve">Zoffoli et al. (2020)</w:t>
            </w:r>
            <w:r>
              <w:t xml:space="preserve">.</w:t>
            </w:r>
          </w:p>
          <w:bookmarkEnd w:id="75"/>
        </w:tc>
      </w:tr>
    </w:tbl>
    <w:bookmarkEnd w:id="76"/>
    <w:bookmarkEnd w:id="77"/>
    <w:bookmarkEnd w:id="78"/>
    <w:bookmarkStart w:id="114" w:name="bibliography"/>
    <w:p>
      <w:pPr>
        <w:pStyle w:val="Heading1"/>
      </w:pPr>
      <w:r>
        <w:t xml:space="preserve">4. Bibliography</w:t>
      </w:r>
    </w:p>
    <w:bookmarkStart w:id="113" w:name="refs"/>
    <w:bookmarkStart w:id="79"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79"/>
    <w:bookmarkStart w:id="80"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80"/>
    <w:bookmarkStart w:id="8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81">
        <w:r>
          <w:rPr>
            <w:rStyle w:val="Hyperlink"/>
          </w:rPr>
          <w:t xml:space="preserve">https://doi.org/10.48670/moi-00311</w:t>
        </w:r>
      </w:hyperlink>
    </w:p>
    <w:bookmarkEnd w:id="82"/>
    <w:bookmarkStart w:id="83" w:name="ref-deguette2022physiological"/>
    <w:p>
      <w:pPr>
        <w:pStyle w:val="Bibliography"/>
      </w:pPr>
      <w:r>
        <w:t xml:space="preserve">Deguette, A., Barrote, I., Silva, J., 2022. Physiological and morphological effects of a marine heatwave on the seagrass cymodocea nodosa. Scientific Reports 12, 7950.</w:t>
      </w:r>
    </w:p>
    <w:bookmarkEnd w:id="83"/>
    <w:bookmarkStart w:id="84" w:name="ref-sen2cor"/>
    <w:p>
      <w:pPr>
        <w:pStyle w:val="Bibliography"/>
      </w:pPr>
      <w:r>
        <w:t xml:space="preserve">European Space Agency, 2024b. Sen2Cor: Sentinel-2 atmospheric correction processor.</w:t>
      </w:r>
    </w:p>
    <w:bookmarkEnd w:id="84"/>
    <w:bookmarkStart w:id="85" w:name="ref-copernicus_sentinel2"/>
    <w:p>
      <w:pPr>
        <w:pStyle w:val="Bibliography"/>
      </w:pPr>
      <w:r>
        <w:t xml:space="preserve">European Space Agency, 2024a. Copernicus open access hub.</w:t>
      </w:r>
    </w:p>
    <w:bookmarkEnd w:id="85"/>
    <w:bookmarkStart w:id="86" w:name="ref-gardner2018global"/>
    <w:p>
      <w:pPr>
        <w:pStyle w:val="Bibliography"/>
      </w:pPr>
      <w:r>
        <w:t xml:space="preserve">Gardner, R.C., Finlayson, C., 2018. Global wetland outlook: State of the world’s wetlands and their services to people, in: Ramsar Convention Secretariat. pp. 2020–5.</w:t>
      </w:r>
    </w:p>
    <w:bookmarkEnd w:id="86"/>
    <w:bookmarkStart w:id="87"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87"/>
    <w:bookmarkStart w:id="8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88"/>
    <w:bookmarkStart w:id="8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89"/>
    <w:bookmarkStart w:id="90" w:name="ref-huete2012vegetation"/>
    <w:p>
      <w:pPr>
        <w:pStyle w:val="Bibliography"/>
      </w:pPr>
      <w:r>
        <w:t xml:space="preserve">Huete, A.R., 2012. Vegetation indices, remote sensing and forest monitoring. Geography Compass 6, 513–532.</w:t>
      </w:r>
    </w:p>
    <w:bookmarkEnd w:id="90"/>
    <w:bookmarkStart w:id="91"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91"/>
    <w:bookmarkStart w:id="92" w:name="ref-kloos2021agricultural"/>
    <w:p>
      <w:pPr>
        <w:pStyle w:val="Bibliography"/>
      </w:pPr>
      <w:r>
        <w:t xml:space="preserve">Kloos, S., Yuan, Y., Castelli, M., Menzel, A., 2021. Agricultural drought detection with MODIS based vegetation health indices in southeast germany. Remote Sensing 13, 3907.</w:t>
      </w:r>
    </w:p>
    <w:bookmarkEnd w:id="92"/>
    <w:bookmarkStart w:id="9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93"/>
    <w:bookmarkStart w:id="9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94"/>
    <w:bookmarkStart w:id="95" w:name="ref-perkins2013measurement"/>
    <w:p>
      <w:pPr>
        <w:pStyle w:val="Bibliography"/>
      </w:pPr>
      <w:r>
        <w:t xml:space="preserve">Perkins, S.E., Alexander, L.V., 2013. On the measurement of heat waves. Journal of climate 26, 4500–4517.</w:t>
      </w:r>
    </w:p>
    <w:bookmarkEnd w:id="95"/>
    <w:bookmarkStart w:id="96" w:name="ref-ramesh2020seagrass"/>
    <w:p>
      <w:pPr>
        <w:pStyle w:val="Bibliography"/>
      </w:pPr>
      <w:r>
        <w:t xml:space="preserve">Ramesh, C., Mohanraju, R., 2020. Seagrass ecosystems of andaman and nicobar islands: Status and future perspective. Environmental &amp; Earth Sciences Research Journal 7.</w:t>
      </w:r>
    </w:p>
    <w:bookmarkEnd w:id="96"/>
    <w:bookmarkStart w:id="97" w:name="ref-rouse1974monitoring"/>
    <w:p>
      <w:pPr>
        <w:pStyle w:val="Bibliography"/>
      </w:pPr>
      <w:r>
        <w:t xml:space="preserve">Rouse, J.W., Haas, R.H., Schell, J.A., Deering, D.W., others, 1974. Monitoring vegetation systems in the great plains with ERTS. NASA Spec. Publ 351, 309.</w:t>
      </w:r>
    </w:p>
    <w:bookmarkEnd w:id="97"/>
    <w:bookmarkStart w:id="9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98"/>
    <w:bookmarkStart w:id="99" w:name="ref-schlegel2017nearshore"/>
    <w:p>
      <w:pPr>
        <w:pStyle w:val="Bibliography"/>
      </w:pPr>
      <w:r>
        <w:t xml:space="preserve">Schlegel, R.W., Oliver, E.C., Wernberg, T., Smit, A.J., 2017. Nearshore and offshore co-occurrence of marine heatwaves and cold-spells. Progress in Oceanography 151, 189–205.</w:t>
      </w:r>
    </w:p>
    <w:bookmarkEnd w:id="99"/>
    <w:bookmarkStart w:id="101"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100">
        <w:r>
          <w:rPr>
            <w:rStyle w:val="Hyperlink"/>
          </w:rPr>
          <w:t xml:space="preserve">https://doi.org/10.21105/joss.00821</w:t>
        </w:r>
      </w:hyperlink>
    </w:p>
    <w:bookmarkEnd w:id="101"/>
    <w:bookmarkStart w:id="102"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102"/>
    <w:bookmarkStart w:id="103"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103"/>
    <w:bookmarkStart w:id="104"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104"/>
    <w:bookmarkStart w:id="105"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105"/>
    <w:bookmarkStart w:id="106"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106"/>
    <w:bookmarkStart w:id="107" w:name="ref-unsworth2022planetary"/>
    <w:p>
      <w:pPr>
        <w:pStyle w:val="Bibliography"/>
      </w:pPr>
      <w:r>
        <w:t xml:space="preserve">Unsworth, R.K., Cullen-Unsworth, L.C., Jones, B.L., Lilley, R.J., 2022. The planetary role of seagrass conservation. Science 377, 609–613.</w:t>
      </w:r>
    </w:p>
    <w:bookmarkEnd w:id="107"/>
    <w:bookmarkStart w:id="108"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108"/>
    <w:bookmarkStart w:id="10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109"/>
    <w:bookmarkStart w:id="110"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10"/>
    <w:bookmarkStart w:id="111"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11"/>
    <w:bookmarkStart w:id="112"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112"/>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45" Target="media/rId45.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hyperlink" Id="rId100" Target="https://doi.org/10.21105/joss.00821" TargetMode="External" /><Relationship Type="http://schemas.openxmlformats.org/officeDocument/2006/relationships/hyperlink" Id="rId81"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61" Target="https://sigoiry.github.io/DISCOV-MicaSense/" TargetMode="External" /><Relationship Type="http://schemas.openxmlformats.org/officeDocument/2006/relationships/hyperlink" Id="rId56"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100" Target="https://doi.org/10.21105/joss.00821" TargetMode="External" /><Relationship Type="http://schemas.openxmlformats.org/officeDocument/2006/relationships/hyperlink" Id="rId81"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61" Target="https://sigoiry.github.io/DISCOV-MicaSense/" TargetMode="External" /><Relationship Type="http://schemas.openxmlformats.org/officeDocument/2006/relationships/hyperlink" Id="rId56"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2024-10-22T15:43:37Z</dcterms:created>
  <dcterms:modified xsi:type="dcterms:W3CDTF">2024-10-22T15:43:37Z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